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20" w:rsidRPr="00E94AAA" w:rsidRDefault="001E7F85">
      <w:pPr>
        <w:spacing w:after="0" w:line="255" w:lineRule="auto"/>
        <w:rPr>
          <w:rFonts w:ascii="Arial" w:eastAsia="Arial" w:hAnsi="Arial" w:cs="Arial"/>
          <w:b/>
          <w:color w:val="0B4DA1"/>
          <w:sz w:val="23"/>
          <w:shd w:val="clear" w:color="auto" w:fill="FFFFFF"/>
          <w:lang w:val="en-US"/>
        </w:rPr>
      </w:pPr>
      <w:r w:rsidRPr="00E94AAA">
        <w:rPr>
          <w:rFonts w:ascii="Arial" w:eastAsia="Arial" w:hAnsi="Arial" w:cs="Arial"/>
          <w:b/>
          <w:color w:val="0B4DA1"/>
          <w:sz w:val="28"/>
          <w:shd w:val="clear" w:color="auto" w:fill="FFFFFF"/>
          <w:lang w:val="en-US"/>
        </w:rPr>
        <w:t xml:space="preserve">Ex-post CBA R1 </w:t>
      </w:r>
      <w:proofErr w:type="spellStart"/>
      <w:r w:rsidRPr="00E94AAA">
        <w:rPr>
          <w:rFonts w:ascii="Arial" w:eastAsia="Arial" w:hAnsi="Arial" w:cs="Arial"/>
          <w:b/>
          <w:color w:val="0B4DA1"/>
          <w:sz w:val="28"/>
          <w:shd w:val="clear" w:color="auto" w:fill="FFFFFF"/>
          <w:lang w:val="en-US"/>
        </w:rPr>
        <w:t>Žarnovica</w:t>
      </w:r>
      <w:proofErr w:type="spellEnd"/>
      <w:r w:rsidRPr="00E94AAA">
        <w:rPr>
          <w:rFonts w:ascii="Arial" w:eastAsia="Arial" w:hAnsi="Arial" w:cs="Arial"/>
          <w:b/>
          <w:color w:val="0B4DA1"/>
          <w:sz w:val="28"/>
          <w:shd w:val="clear" w:color="auto" w:fill="FFFFFF"/>
          <w:lang w:val="en-US"/>
        </w:rPr>
        <w:t xml:space="preserve"> – </w:t>
      </w:r>
      <w:proofErr w:type="spellStart"/>
      <w:r w:rsidRPr="00E94AAA">
        <w:rPr>
          <w:rFonts w:ascii="Arial" w:eastAsia="Arial" w:hAnsi="Arial" w:cs="Arial"/>
          <w:b/>
          <w:color w:val="0B4DA1"/>
          <w:sz w:val="28"/>
          <w:shd w:val="clear" w:color="auto" w:fill="FFFFFF"/>
          <w:lang w:val="en-US"/>
        </w:rPr>
        <w:t>Šášovské</w:t>
      </w:r>
      <w:proofErr w:type="spellEnd"/>
      <w:r w:rsidRPr="00E94AAA">
        <w:rPr>
          <w:rFonts w:ascii="Arial" w:eastAsia="Arial" w:hAnsi="Arial" w:cs="Arial"/>
          <w:b/>
          <w:color w:val="0B4DA1"/>
          <w:sz w:val="28"/>
          <w:shd w:val="clear" w:color="auto" w:fill="FFFFFF"/>
          <w:lang w:val="en-US"/>
        </w:rPr>
        <w:t xml:space="preserve"> </w:t>
      </w:r>
      <w:proofErr w:type="spellStart"/>
      <w:r w:rsidRPr="00E94AAA">
        <w:rPr>
          <w:rFonts w:ascii="Arial" w:eastAsia="Arial" w:hAnsi="Arial" w:cs="Arial"/>
          <w:b/>
          <w:color w:val="0B4DA1"/>
          <w:sz w:val="28"/>
          <w:shd w:val="clear" w:color="auto" w:fill="FFFFFF"/>
          <w:lang w:val="en-US"/>
        </w:rPr>
        <w:t>Podhradie</w:t>
      </w:r>
      <w:proofErr w:type="spellEnd"/>
      <w:r w:rsidRPr="00E94AAA">
        <w:rPr>
          <w:rFonts w:ascii="Arial" w:eastAsia="Arial" w:hAnsi="Arial" w:cs="Arial"/>
          <w:b/>
          <w:color w:val="0B4DA1"/>
          <w:sz w:val="28"/>
          <w:shd w:val="clear" w:color="auto" w:fill="FFFFFF"/>
          <w:lang w:val="en-US"/>
        </w:rPr>
        <w:t>, update 2020</w:t>
      </w:r>
      <w:r w:rsidRPr="00E94AAA">
        <w:rPr>
          <w:rFonts w:ascii="Arial" w:eastAsia="Arial" w:hAnsi="Arial" w:cs="Arial"/>
          <w:b/>
          <w:color w:val="0B4DA1"/>
          <w:sz w:val="24"/>
          <w:shd w:val="clear" w:color="auto" w:fill="FFFFFF"/>
          <w:lang w:val="en-US"/>
        </w:rPr>
        <w:br/>
      </w:r>
    </w:p>
    <w:p w:rsidR="00865E20" w:rsidRPr="00E94AAA" w:rsidRDefault="001E7F85">
      <w:pPr>
        <w:spacing w:after="15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w:t>
      </w:r>
    </w:p>
    <w:p w:rsidR="00865E20" w:rsidRPr="00E94AAA" w:rsidRDefault="001E7F85">
      <w:pPr>
        <w:spacing w:after="150" w:line="240" w:lineRule="auto"/>
        <w:ind w:firstLine="708"/>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Ex-post CBA R1 </w:t>
      </w:r>
      <w:proofErr w:type="spellStart"/>
      <w:r w:rsidRPr="00E94AAA">
        <w:rPr>
          <w:rFonts w:ascii="Arial" w:eastAsia="Arial" w:hAnsi="Arial" w:cs="Arial"/>
          <w:color w:val="525252"/>
          <w:sz w:val="24"/>
          <w:shd w:val="clear" w:color="auto" w:fill="FFFFFF"/>
          <w:lang w:val="en-US"/>
        </w:rPr>
        <w:t>Žarnovica</w:t>
      </w:r>
      <w:proofErr w:type="spellEnd"/>
      <w:r w:rsidRPr="00E94AAA">
        <w:rPr>
          <w:rFonts w:ascii="Arial" w:eastAsia="Arial" w:hAnsi="Arial" w:cs="Arial"/>
          <w:color w:val="525252"/>
          <w:sz w:val="24"/>
          <w:shd w:val="clear" w:color="auto" w:fill="FFFFFF"/>
          <w:lang w:val="en-US"/>
        </w:rPr>
        <w:t xml:space="preserve"> - </w:t>
      </w:r>
      <w:proofErr w:type="spellStart"/>
      <w:r w:rsidRPr="00E94AAA">
        <w:rPr>
          <w:rFonts w:ascii="Arial" w:eastAsia="Arial" w:hAnsi="Arial" w:cs="Arial"/>
          <w:color w:val="525252"/>
          <w:sz w:val="24"/>
          <w:shd w:val="clear" w:color="auto" w:fill="FFFFFF"/>
          <w:lang w:val="en-US"/>
        </w:rPr>
        <w:t>Šášovské</w:t>
      </w:r>
      <w:proofErr w:type="spellEnd"/>
      <w:r w:rsidRPr="00E94AAA">
        <w:rPr>
          <w:rFonts w:ascii="Arial" w:eastAsia="Arial" w:hAnsi="Arial" w:cs="Arial"/>
          <w:color w:val="525252"/>
          <w:sz w:val="24"/>
          <w:shd w:val="clear" w:color="auto" w:fill="FFFFFF"/>
          <w:lang w:val="en-US"/>
        </w:rPr>
        <w:t xml:space="preserve"> </w:t>
      </w:r>
      <w:proofErr w:type="spellStart"/>
      <w:r w:rsidRPr="00E94AAA">
        <w:rPr>
          <w:rFonts w:ascii="Arial" w:eastAsia="Arial" w:hAnsi="Arial" w:cs="Arial"/>
          <w:color w:val="525252"/>
          <w:sz w:val="24"/>
          <w:shd w:val="clear" w:color="auto" w:fill="FFFFFF"/>
          <w:lang w:val="en-US"/>
        </w:rPr>
        <w:t>Podhradie</w:t>
      </w:r>
      <w:proofErr w:type="spellEnd"/>
      <w:r w:rsidRPr="00E94AAA">
        <w:rPr>
          <w:rFonts w:ascii="Arial" w:eastAsia="Arial" w:hAnsi="Arial" w:cs="Arial"/>
          <w:color w:val="525252"/>
          <w:sz w:val="24"/>
          <w:shd w:val="clear" w:color="auto" w:fill="FFFFFF"/>
          <w:lang w:val="en-US"/>
        </w:rPr>
        <w:t xml:space="preserve"> was implemented in 2019 and it is available at </w:t>
      </w:r>
      <w:hyperlink r:id="rId4">
        <w:r w:rsidRPr="00E94AAA">
          <w:rPr>
            <w:rFonts w:ascii="Arial" w:eastAsia="Arial" w:hAnsi="Arial" w:cs="Arial"/>
            <w:color w:val="0000FF"/>
            <w:sz w:val="24"/>
            <w:u w:val="single"/>
            <w:shd w:val="clear" w:color="auto" w:fill="FFFFFF"/>
            <w:lang w:val="en-US"/>
          </w:rPr>
          <w:t>https://www.opii.gov.sk/metodicke-dokumenty/ex-post-cba</w:t>
        </w:r>
      </w:hyperlink>
      <w:r w:rsidRPr="00E94AAA">
        <w:rPr>
          <w:rFonts w:ascii="Arial" w:eastAsia="Arial" w:hAnsi="Arial" w:cs="Arial"/>
          <w:color w:val="525252"/>
          <w:sz w:val="24"/>
          <w:shd w:val="clear" w:color="auto" w:fill="FFFFFF"/>
          <w:lang w:val="en-US"/>
        </w:rPr>
        <w:t>. The data used in the analysis were collected in the period 2008 to 2018.</w:t>
      </w:r>
    </w:p>
    <w:p w:rsidR="00865E20" w:rsidRPr="00E94AAA" w:rsidRDefault="001E7F85">
      <w:pPr>
        <w:spacing w:after="150" w:line="240" w:lineRule="auto"/>
        <w:ind w:firstLine="708"/>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As the Managing Authority, the Ministry of Transport and Construction of the Slovak Republic has proceeded to update the ex-post CBA by adjusting the original ex-post CBA with fair values ​​for 2019. The following data were </w:t>
      </w:r>
      <w:proofErr w:type="gramStart"/>
      <w:r w:rsidRPr="00E94AAA">
        <w:rPr>
          <w:rFonts w:ascii="Arial" w:eastAsia="Arial" w:hAnsi="Arial" w:cs="Arial"/>
          <w:color w:val="525252"/>
          <w:sz w:val="24"/>
          <w:shd w:val="clear" w:color="auto" w:fill="FFFFFF"/>
          <w:lang w:val="en-US"/>
        </w:rPr>
        <w:t>included :</w:t>
      </w:r>
      <w:proofErr w:type="gramEnd"/>
    </w:p>
    <w:p w:rsidR="00865E20" w:rsidRPr="00E94AAA" w:rsidRDefault="001E7F85">
      <w:pPr>
        <w:spacing w:after="0" w:line="240" w:lineRule="auto"/>
        <w:ind w:left="709"/>
        <w:jc w:val="both"/>
        <w:rPr>
          <w:rFonts w:ascii="Arial" w:eastAsia="Arial" w:hAnsi="Arial" w:cs="Arial"/>
          <w:i/>
          <w:color w:val="525252"/>
          <w:sz w:val="24"/>
          <w:shd w:val="clear" w:color="auto" w:fill="FFFFFF"/>
          <w:lang w:val="en-US"/>
        </w:rPr>
      </w:pPr>
      <w:r w:rsidRPr="00E94AAA">
        <w:rPr>
          <w:rFonts w:ascii="Arial" w:eastAsia="Arial" w:hAnsi="Arial" w:cs="Arial"/>
          <w:i/>
          <w:color w:val="525252"/>
          <w:sz w:val="24"/>
          <w:shd w:val="clear" w:color="auto" w:fill="FFFFFF"/>
          <w:lang w:val="en-US"/>
        </w:rPr>
        <w:t>GDP – source: Statistical Office of the SR</w:t>
      </w:r>
    </w:p>
    <w:p w:rsidR="00865E20" w:rsidRPr="00E94AAA" w:rsidRDefault="001E7F85">
      <w:pPr>
        <w:spacing w:after="0" w:line="240" w:lineRule="auto"/>
        <w:ind w:left="709"/>
        <w:jc w:val="both"/>
        <w:rPr>
          <w:rFonts w:ascii="Arial" w:eastAsia="Arial" w:hAnsi="Arial" w:cs="Arial"/>
          <w:i/>
          <w:color w:val="525252"/>
          <w:sz w:val="24"/>
          <w:shd w:val="clear" w:color="auto" w:fill="FFFFFF"/>
          <w:lang w:val="en-US"/>
        </w:rPr>
      </w:pPr>
      <w:r w:rsidRPr="00E94AAA">
        <w:rPr>
          <w:rFonts w:ascii="Arial" w:eastAsia="Arial" w:hAnsi="Arial" w:cs="Arial"/>
          <w:i/>
          <w:color w:val="525252"/>
          <w:sz w:val="24"/>
          <w:shd w:val="clear" w:color="auto" w:fill="FFFFFF"/>
          <w:lang w:val="en-US"/>
        </w:rPr>
        <w:t>Inflation – source: Statistical Office of the SR;</w:t>
      </w:r>
    </w:p>
    <w:p w:rsidR="00865E20" w:rsidRPr="00E94AAA" w:rsidRDefault="001E7F85">
      <w:pPr>
        <w:spacing w:after="0" w:line="240" w:lineRule="auto"/>
        <w:ind w:left="709"/>
        <w:jc w:val="both"/>
        <w:rPr>
          <w:rFonts w:ascii="Arial" w:eastAsia="Arial" w:hAnsi="Arial" w:cs="Arial"/>
          <w:i/>
          <w:color w:val="525252"/>
          <w:sz w:val="24"/>
          <w:shd w:val="clear" w:color="auto" w:fill="FFFFFF"/>
          <w:lang w:val="en-US"/>
        </w:rPr>
      </w:pPr>
      <w:r w:rsidRPr="00E94AAA">
        <w:rPr>
          <w:rFonts w:ascii="Arial" w:eastAsia="Arial" w:hAnsi="Arial" w:cs="Arial"/>
          <w:i/>
          <w:color w:val="525252"/>
          <w:sz w:val="24"/>
          <w:shd w:val="clear" w:color="auto" w:fill="FFFFFF"/>
          <w:lang w:val="en-US"/>
        </w:rPr>
        <w:t>Fuel prices – source: Statistical Office of the SR;</w:t>
      </w:r>
    </w:p>
    <w:p w:rsidR="00865E20" w:rsidRPr="00E94AAA" w:rsidRDefault="001E7F85">
      <w:pPr>
        <w:spacing w:after="0" w:line="240" w:lineRule="auto"/>
        <w:ind w:left="709"/>
        <w:jc w:val="both"/>
        <w:rPr>
          <w:rFonts w:ascii="Arial" w:eastAsia="Arial" w:hAnsi="Arial" w:cs="Arial"/>
          <w:i/>
          <w:color w:val="525252"/>
          <w:sz w:val="24"/>
          <w:shd w:val="clear" w:color="auto" w:fill="FFFFFF"/>
          <w:lang w:val="en-US"/>
        </w:rPr>
      </w:pPr>
      <w:r w:rsidRPr="00E94AAA">
        <w:rPr>
          <w:rFonts w:ascii="Arial" w:eastAsia="Arial" w:hAnsi="Arial" w:cs="Arial"/>
          <w:i/>
          <w:color w:val="525252"/>
          <w:sz w:val="24"/>
          <w:shd w:val="clear" w:color="auto" w:fill="FFFFFF"/>
          <w:lang w:val="en-US"/>
        </w:rPr>
        <w:t>Traffic intensity – source: automated traffic counters of National Motorway Company;</w:t>
      </w:r>
    </w:p>
    <w:p w:rsidR="00865E20" w:rsidRPr="00E94AAA" w:rsidRDefault="001E7F85">
      <w:pPr>
        <w:spacing w:after="0" w:line="240" w:lineRule="auto"/>
        <w:ind w:left="709"/>
        <w:jc w:val="both"/>
        <w:rPr>
          <w:rFonts w:ascii="Arial" w:eastAsia="Arial" w:hAnsi="Arial" w:cs="Arial"/>
          <w:i/>
          <w:color w:val="525252"/>
          <w:sz w:val="24"/>
          <w:shd w:val="clear" w:color="auto" w:fill="FFFFFF"/>
          <w:lang w:val="en-US"/>
        </w:rPr>
      </w:pPr>
      <w:r w:rsidRPr="00E94AAA">
        <w:rPr>
          <w:rFonts w:ascii="Arial" w:eastAsia="Arial" w:hAnsi="Arial" w:cs="Arial"/>
          <w:i/>
          <w:color w:val="525252"/>
          <w:sz w:val="24"/>
          <w:shd w:val="clear" w:color="auto" w:fill="FFFFFF"/>
          <w:lang w:val="en-US"/>
        </w:rPr>
        <w:t>Operation and Maintenance costs – source: National Motorway Company accounting;</w:t>
      </w:r>
    </w:p>
    <w:p w:rsidR="00865E20" w:rsidRPr="00E94AAA" w:rsidRDefault="001E7F85">
      <w:pPr>
        <w:spacing w:after="0" w:line="240" w:lineRule="auto"/>
        <w:ind w:left="709"/>
        <w:jc w:val="both"/>
        <w:rPr>
          <w:rFonts w:ascii="Arial" w:eastAsia="Arial" w:hAnsi="Arial" w:cs="Arial"/>
          <w:i/>
          <w:color w:val="525252"/>
          <w:sz w:val="24"/>
          <w:shd w:val="clear" w:color="auto" w:fill="FFFFFF"/>
          <w:lang w:val="en-US"/>
        </w:rPr>
      </w:pPr>
      <w:r w:rsidRPr="00E94AAA">
        <w:rPr>
          <w:rFonts w:ascii="Arial" w:eastAsia="Arial" w:hAnsi="Arial" w:cs="Arial"/>
          <w:i/>
          <w:color w:val="525252"/>
          <w:sz w:val="24"/>
          <w:shd w:val="clear" w:color="auto" w:fill="FFFFFF"/>
          <w:lang w:val="en-US"/>
        </w:rPr>
        <w:t>Revenues – source: National Motorway Company accounting;</w:t>
      </w:r>
    </w:p>
    <w:p w:rsidR="00865E20" w:rsidRPr="00E94AAA" w:rsidRDefault="001E7F85">
      <w:pPr>
        <w:spacing w:after="0" w:line="240" w:lineRule="auto"/>
        <w:ind w:left="709"/>
        <w:jc w:val="both"/>
        <w:rPr>
          <w:rFonts w:ascii="Arial" w:eastAsia="Arial" w:hAnsi="Arial" w:cs="Arial"/>
          <w:color w:val="525252"/>
          <w:sz w:val="24"/>
          <w:shd w:val="clear" w:color="auto" w:fill="FFFFFF"/>
          <w:lang w:val="en-US"/>
        </w:rPr>
      </w:pPr>
      <w:r w:rsidRPr="00E94AAA">
        <w:rPr>
          <w:rFonts w:ascii="Arial" w:eastAsia="Arial" w:hAnsi="Arial" w:cs="Arial"/>
          <w:i/>
          <w:color w:val="525252"/>
          <w:sz w:val="24"/>
          <w:shd w:val="clear" w:color="auto" w:fill="FFFFFF"/>
          <w:lang w:val="en-US"/>
        </w:rPr>
        <w:t>Accidents – source: Police of the SR</w:t>
      </w:r>
    </w:p>
    <w:p w:rsidR="00865E20" w:rsidRPr="00E94AAA" w:rsidRDefault="001E7F85">
      <w:pPr>
        <w:spacing w:before="120" w:after="120" w:line="240" w:lineRule="auto"/>
        <w:ind w:firstLine="708"/>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Subsequently, the CBA of the entire project was recalculated including predictions until 2037 using the currently valid methodology for the Operational </w:t>
      </w:r>
      <w:proofErr w:type="spellStart"/>
      <w:r w:rsidRPr="00E94AAA">
        <w:rPr>
          <w:rFonts w:ascii="Arial" w:eastAsia="Arial" w:hAnsi="Arial" w:cs="Arial"/>
          <w:color w:val="525252"/>
          <w:sz w:val="24"/>
          <w:shd w:val="clear" w:color="auto" w:fill="FFFFFF"/>
          <w:lang w:val="en-US"/>
        </w:rPr>
        <w:t>Programme</w:t>
      </w:r>
      <w:proofErr w:type="spellEnd"/>
      <w:r w:rsidRPr="00E94AAA">
        <w:rPr>
          <w:rFonts w:ascii="Arial" w:eastAsia="Arial" w:hAnsi="Arial" w:cs="Arial"/>
          <w:color w:val="525252"/>
          <w:sz w:val="24"/>
          <w:shd w:val="clear" w:color="auto" w:fill="FFFFFF"/>
          <w:lang w:val="en-US"/>
        </w:rPr>
        <w:t xml:space="preserve"> Integrated Infrastructure (2014 - 2020). The original CBA had been calculated using the methodology of the previous Operational </w:t>
      </w:r>
      <w:proofErr w:type="spellStart"/>
      <w:r w:rsidRPr="00E94AAA">
        <w:rPr>
          <w:rFonts w:ascii="Arial" w:eastAsia="Arial" w:hAnsi="Arial" w:cs="Arial"/>
          <w:color w:val="525252"/>
          <w:sz w:val="24"/>
          <w:shd w:val="clear" w:color="auto" w:fill="FFFFFF"/>
          <w:lang w:val="en-US"/>
        </w:rPr>
        <w:t>Programme</w:t>
      </w:r>
      <w:proofErr w:type="spellEnd"/>
      <w:r w:rsidRPr="00E94AAA">
        <w:rPr>
          <w:rFonts w:ascii="Arial" w:eastAsia="Arial" w:hAnsi="Arial" w:cs="Arial"/>
          <w:color w:val="525252"/>
          <w:sz w:val="24"/>
          <w:shd w:val="clear" w:color="auto" w:fill="FFFFFF"/>
          <w:lang w:val="en-US"/>
        </w:rPr>
        <w:t xml:space="preserve"> Transport (2007 - 2013).</w:t>
      </w:r>
    </w:p>
    <w:p w:rsidR="00E94AAA" w:rsidRPr="00CC568B" w:rsidRDefault="001E7F85" w:rsidP="00E94AAA">
      <w:pPr>
        <w:spacing w:before="120" w:after="120" w:line="240" w:lineRule="auto"/>
        <w:ind w:firstLine="708"/>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The evaluation of the financial and economic analysis below is a comparison of the current ex-post CBA analysis with the previous one </w:t>
      </w:r>
      <w:r w:rsidR="00E94AAA">
        <w:rPr>
          <w:rFonts w:ascii="Arial" w:eastAsia="Arial" w:hAnsi="Arial" w:cs="Arial"/>
          <w:color w:val="525252"/>
          <w:sz w:val="24"/>
          <w:shd w:val="clear" w:color="auto" w:fill="FFFFFF"/>
          <w:lang w:val="en-US"/>
        </w:rPr>
        <w:t xml:space="preserve">implemented in </w:t>
      </w:r>
      <w:r w:rsidR="00E94AAA" w:rsidRPr="00CC568B">
        <w:rPr>
          <w:rFonts w:ascii="Arial" w:eastAsia="Arial" w:hAnsi="Arial" w:cs="Arial"/>
          <w:color w:val="525252"/>
          <w:sz w:val="24"/>
          <w:shd w:val="clear" w:color="auto" w:fill="FFFFFF"/>
          <w:lang w:val="en-US"/>
        </w:rPr>
        <w:t>the year 2019.</w:t>
      </w:r>
    </w:p>
    <w:p w:rsidR="00865E20" w:rsidRPr="00E94AAA" w:rsidRDefault="001E7F85">
      <w:pPr>
        <w:spacing w:before="120" w:after="120" w:line="240" w:lineRule="auto"/>
        <w:ind w:firstLine="708"/>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w:t>
      </w:r>
    </w:p>
    <w:p w:rsidR="00865E20" w:rsidRPr="00E94AAA" w:rsidRDefault="001E7F85">
      <w:pPr>
        <w:spacing w:after="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w:t>
      </w:r>
      <w:r w:rsidRPr="00E94AAA">
        <w:rPr>
          <w:rFonts w:ascii="Arial" w:eastAsia="Arial" w:hAnsi="Arial" w:cs="Arial"/>
          <w:i/>
          <w:color w:val="525252"/>
          <w:sz w:val="24"/>
          <w:shd w:val="clear" w:color="auto" w:fill="FFFFFF"/>
          <w:lang w:val="en-US"/>
        </w:rPr>
        <w:t> </w:t>
      </w:r>
    </w:p>
    <w:p w:rsidR="00865E20" w:rsidRPr="00E94AAA" w:rsidRDefault="001E7F85">
      <w:pPr>
        <w:spacing w:after="0" w:line="240" w:lineRule="auto"/>
        <w:jc w:val="center"/>
        <w:rPr>
          <w:rFonts w:ascii="Arial" w:eastAsia="Arial" w:hAnsi="Arial" w:cs="Arial"/>
          <w:b/>
          <w:color w:val="525252"/>
          <w:sz w:val="24"/>
          <w:shd w:val="clear" w:color="auto" w:fill="FFFFFF"/>
          <w:lang w:val="en-US"/>
        </w:rPr>
      </w:pPr>
      <w:r w:rsidRPr="00E94AAA">
        <w:rPr>
          <w:rFonts w:ascii="Arial" w:eastAsia="Arial" w:hAnsi="Arial" w:cs="Arial"/>
          <w:b/>
          <w:color w:val="525252"/>
          <w:sz w:val="24"/>
          <w:shd w:val="clear" w:color="auto" w:fill="FFFFFF"/>
          <w:lang w:val="en-US"/>
        </w:rPr>
        <w:t>Evaluation of financial analysis</w:t>
      </w:r>
    </w:p>
    <w:p w:rsidR="00865E20" w:rsidRPr="00E94AAA" w:rsidRDefault="00865E20">
      <w:pPr>
        <w:spacing w:after="0" w:line="240" w:lineRule="auto"/>
        <w:jc w:val="center"/>
        <w:rPr>
          <w:rFonts w:ascii="Arial" w:eastAsia="Arial" w:hAnsi="Arial" w:cs="Arial"/>
          <w:color w:val="525252"/>
          <w:sz w:val="24"/>
          <w:shd w:val="clear" w:color="auto" w:fill="FFFFFF"/>
          <w:lang w:val="en-US"/>
        </w:rPr>
      </w:pPr>
    </w:p>
    <w:p w:rsidR="009D41DB" w:rsidRDefault="001E7F85" w:rsidP="009D41DB">
      <w:pPr>
        <w:spacing w:after="120" w:line="240" w:lineRule="auto"/>
        <w:ind w:firstLine="708"/>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The financial gap did not change, the updated CBA confirmed the financial gap of </w:t>
      </w:r>
      <w:r w:rsidRPr="00E94AAA">
        <w:rPr>
          <w:rFonts w:ascii="Arial" w:eastAsia="Arial" w:hAnsi="Arial" w:cs="Arial"/>
          <w:b/>
          <w:color w:val="525252"/>
          <w:sz w:val="24"/>
          <w:shd w:val="clear" w:color="auto" w:fill="FFFFFF"/>
          <w:lang w:val="en-US"/>
        </w:rPr>
        <w:t>100%.</w:t>
      </w:r>
      <w:r w:rsidRPr="00E94AAA">
        <w:rPr>
          <w:rFonts w:ascii="Arial" w:eastAsia="Arial" w:hAnsi="Arial" w:cs="Arial"/>
          <w:color w:val="525252"/>
          <w:sz w:val="24"/>
          <w:shd w:val="clear" w:color="auto" w:fill="FFFFFF"/>
          <w:lang w:val="en-US"/>
        </w:rPr>
        <w:t xml:space="preserve"> </w:t>
      </w:r>
    </w:p>
    <w:p w:rsidR="009D41DB" w:rsidRPr="00CC568B" w:rsidRDefault="009D41DB" w:rsidP="009D41DB">
      <w:pPr>
        <w:spacing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The financial indicators below are cumulative for the reference period of 30 years and the sums are </w:t>
      </w:r>
      <w:r>
        <w:rPr>
          <w:rFonts w:ascii="Arial" w:eastAsia="Arial" w:hAnsi="Arial" w:cs="Arial"/>
          <w:color w:val="525252"/>
          <w:sz w:val="24"/>
          <w:shd w:val="clear" w:color="auto" w:fill="FFFFFF"/>
          <w:lang w:val="en-US"/>
        </w:rPr>
        <w:t xml:space="preserve">discounted </w:t>
      </w:r>
      <w:r w:rsidR="00214EBF">
        <w:rPr>
          <w:rFonts w:ascii="Arial" w:eastAsia="Arial" w:hAnsi="Arial" w:cs="Arial"/>
          <w:color w:val="525252"/>
          <w:sz w:val="24"/>
          <w:shd w:val="clear" w:color="auto" w:fill="FFFFFF"/>
          <w:lang w:val="en-US"/>
        </w:rPr>
        <w:t>at</w:t>
      </w:r>
      <w:r>
        <w:rPr>
          <w:rFonts w:ascii="Arial" w:eastAsia="Arial" w:hAnsi="Arial" w:cs="Arial"/>
          <w:color w:val="525252"/>
          <w:sz w:val="24"/>
          <w:shd w:val="clear" w:color="auto" w:fill="FFFFFF"/>
          <w:lang w:val="en-US"/>
        </w:rPr>
        <w:t xml:space="preserve"> the financial discount rate </w:t>
      </w:r>
      <w:r w:rsidR="00214EBF">
        <w:rPr>
          <w:rFonts w:ascii="Arial" w:eastAsia="Arial" w:hAnsi="Arial" w:cs="Arial"/>
          <w:color w:val="525252"/>
          <w:sz w:val="24"/>
          <w:shd w:val="clear" w:color="auto" w:fill="FFFFFF"/>
          <w:lang w:val="en-US"/>
        </w:rPr>
        <w:t>of</w:t>
      </w:r>
      <w:r>
        <w:rPr>
          <w:rFonts w:ascii="Arial" w:eastAsia="Arial" w:hAnsi="Arial" w:cs="Arial"/>
          <w:color w:val="525252"/>
          <w:sz w:val="24"/>
          <w:shd w:val="clear" w:color="auto" w:fill="FFFFFF"/>
          <w:lang w:val="en-US"/>
        </w:rPr>
        <w:t xml:space="preserve"> 4%.</w:t>
      </w:r>
    </w:p>
    <w:p w:rsidR="00865E20" w:rsidRPr="00E94AAA" w:rsidRDefault="00865E20">
      <w:pPr>
        <w:spacing w:after="120" w:line="240" w:lineRule="auto"/>
        <w:jc w:val="both"/>
        <w:rPr>
          <w:rFonts w:ascii="Arial" w:eastAsia="Arial" w:hAnsi="Arial" w:cs="Arial"/>
          <w:color w:val="525252"/>
          <w:sz w:val="24"/>
          <w:shd w:val="clear" w:color="auto" w:fill="FFFFFF"/>
          <w:lang w:val="en-US"/>
        </w:rPr>
      </w:pPr>
    </w:p>
    <w:tbl>
      <w:tblPr>
        <w:tblW w:w="0" w:type="auto"/>
        <w:tblInd w:w="8" w:type="dxa"/>
        <w:tblCellMar>
          <w:left w:w="10" w:type="dxa"/>
          <w:right w:w="10" w:type="dxa"/>
        </w:tblCellMar>
        <w:tblLook w:val="04A0" w:firstRow="1" w:lastRow="0" w:firstColumn="1" w:lastColumn="0" w:noHBand="0" w:noVBand="1"/>
      </w:tblPr>
      <w:tblGrid>
        <w:gridCol w:w="2140"/>
        <w:gridCol w:w="3068"/>
        <w:gridCol w:w="2853"/>
        <w:gridCol w:w="1019"/>
      </w:tblGrid>
      <w:tr w:rsidR="00865E20" w:rsidRPr="00E94AAA">
        <w:trPr>
          <w:trHeight w:val="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Investment cost</w:t>
            </w:r>
          </w:p>
        </w:tc>
        <w:tc>
          <w:tcPr>
            <w:tcW w:w="307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175 608 578 EUR</w:t>
            </w:r>
          </w:p>
        </w:tc>
        <w:tc>
          <w:tcPr>
            <w:tcW w:w="285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bookmarkStart w:id="0" w:name="_GoBack"/>
            <w:bookmarkEnd w:id="0"/>
            <w:r w:rsidRPr="00E94AAA">
              <w:rPr>
                <w:rFonts w:ascii="Arial" w:eastAsia="Arial" w:hAnsi="Arial" w:cs="Arial"/>
                <w:b/>
                <w:color w:val="525252"/>
                <w:sz w:val="24"/>
                <w:lang w:val="en-US"/>
              </w:rPr>
              <w:t>175 608 578 EUR</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0%</w:t>
            </w:r>
          </w:p>
        </w:tc>
      </w:tr>
    </w:tbl>
    <w:p w:rsidR="00865E20" w:rsidRPr="00E94AAA" w:rsidRDefault="001E7F85">
      <w:pPr>
        <w:tabs>
          <w:tab w:val="left" w:pos="7760"/>
        </w:tabs>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The stated investment costs are non-discounted and excluding VAT. The investment cost was not affected by the update.</w:t>
      </w:r>
      <w:r w:rsidRPr="00E94AAA">
        <w:rPr>
          <w:rFonts w:ascii="Arial" w:eastAsia="Arial" w:hAnsi="Arial" w:cs="Arial"/>
          <w:color w:val="525252"/>
          <w:sz w:val="24"/>
          <w:shd w:val="clear" w:color="auto" w:fill="FFFFFF"/>
          <w:lang w:val="en-US"/>
        </w:rPr>
        <w:tab/>
      </w:r>
    </w:p>
    <w:tbl>
      <w:tblPr>
        <w:tblW w:w="0" w:type="auto"/>
        <w:tblInd w:w="8" w:type="dxa"/>
        <w:tblCellMar>
          <w:left w:w="10" w:type="dxa"/>
          <w:right w:w="10" w:type="dxa"/>
        </w:tblCellMar>
        <w:tblLook w:val="04A0" w:firstRow="1" w:lastRow="0" w:firstColumn="1" w:lastColumn="0" w:noHBand="0" w:noVBand="1"/>
      </w:tblPr>
      <w:tblGrid>
        <w:gridCol w:w="2079"/>
        <w:gridCol w:w="3158"/>
        <w:gridCol w:w="2866"/>
        <w:gridCol w:w="947"/>
      </w:tblGrid>
      <w:tr w:rsidR="00865E20" w:rsidRPr="00E94AAA">
        <w:trPr>
          <w:trHeight w:val="1"/>
        </w:trPr>
        <w:tc>
          <w:tcPr>
            <w:tcW w:w="207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Residual value</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47 940 412 EUR</w:t>
            </w:r>
          </w:p>
        </w:tc>
        <w:tc>
          <w:tcPr>
            <w:tcW w:w="286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47 940 412 EUR</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0%</w:t>
            </w:r>
          </w:p>
        </w:tc>
      </w:tr>
    </w:tbl>
    <w:p w:rsidR="00865E20" w:rsidRPr="00E94AAA"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In accordance with the current CBA manual the updated residual value was recalculated using the method on the basis of the lifetime of the infrastructure components. The residual value was not affected by the update.</w:t>
      </w:r>
    </w:p>
    <w:tbl>
      <w:tblPr>
        <w:tblW w:w="0" w:type="auto"/>
        <w:tblInd w:w="8" w:type="dxa"/>
        <w:tblCellMar>
          <w:left w:w="10" w:type="dxa"/>
          <w:right w:w="10" w:type="dxa"/>
        </w:tblCellMar>
        <w:tblLook w:val="04A0" w:firstRow="1" w:lastRow="0" w:firstColumn="1" w:lastColumn="0" w:noHBand="0" w:noVBand="1"/>
      </w:tblPr>
      <w:tblGrid>
        <w:gridCol w:w="2117"/>
        <w:gridCol w:w="3109"/>
        <w:gridCol w:w="2861"/>
        <w:gridCol w:w="963"/>
      </w:tblGrid>
      <w:tr w:rsidR="00865E20" w:rsidRPr="00E94AAA">
        <w:trPr>
          <w:trHeight w:val="1"/>
        </w:trPr>
        <w:tc>
          <w:tcPr>
            <w:tcW w:w="211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rFonts w:ascii="Arial" w:eastAsia="Arial" w:hAnsi="Arial" w:cs="Arial"/>
                <w:b/>
                <w:color w:val="525252"/>
                <w:sz w:val="24"/>
                <w:lang w:val="en-US"/>
              </w:rPr>
            </w:pPr>
            <w:r w:rsidRPr="00E94AAA">
              <w:rPr>
                <w:rFonts w:ascii="Arial" w:eastAsia="Arial" w:hAnsi="Arial" w:cs="Arial"/>
                <w:b/>
                <w:color w:val="525252"/>
                <w:sz w:val="24"/>
                <w:lang w:val="en-US"/>
              </w:rPr>
              <w:lastRenderedPageBreak/>
              <w:t>Discounted</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Revenues</w:t>
            </w:r>
          </w:p>
        </w:tc>
        <w:tc>
          <w:tcPr>
            <w:tcW w:w="310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-27 309 117 EUR</w:t>
            </w: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-26 274 191 EUR</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+3.8%</w:t>
            </w:r>
          </w:p>
        </w:tc>
      </w:tr>
    </w:tbl>
    <w:p w:rsidR="00865E20" w:rsidRPr="00E94AAA"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Toll revenue has increased from EUR 2 572 644 (year 2018) to EUR 2 733 047 (year 2019). In the long-term view it means a slightly more positive forecast by 2037, but the fact is that the </w:t>
      </w:r>
      <w:proofErr w:type="gramStart"/>
      <w:r w:rsidRPr="00E94AAA">
        <w:rPr>
          <w:rFonts w:ascii="Arial" w:eastAsia="Arial" w:hAnsi="Arial" w:cs="Arial"/>
          <w:color w:val="525252"/>
          <w:sz w:val="24"/>
          <w:shd w:val="clear" w:color="auto" w:fill="FFFFFF"/>
          <w:lang w:val="en-US"/>
        </w:rPr>
        <w:t>project  cannot</w:t>
      </w:r>
      <w:proofErr w:type="gramEnd"/>
      <w:r w:rsidRPr="00E94AAA">
        <w:rPr>
          <w:rFonts w:ascii="Arial" w:eastAsia="Arial" w:hAnsi="Arial" w:cs="Arial"/>
          <w:color w:val="525252"/>
          <w:sz w:val="24"/>
          <w:shd w:val="clear" w:color="auto" w:fill="FFFFFF"/>
          <w:lang w:val="en-US"/>
        </w:rPr>
        <w:t xml:space="preserve"> earn means for its operation.</w:t>
      </w:r>
      <w:r w:rsidR="00E52A55">
        <w:rPr>
          <w:rFonts w:ascii="Arial" w:eastAsia="Arial" w:hAnsi="Arial" w:cs="Arial"/>
          <w:color w:val="525252"/>
          <w:sz w:val="24"/>
          <w:shd w:val="clear" w:color="auto" w:fill="FFFFFF"/>
          <w:lang w:val="en-US"/>
        </w:rPr>
        <w:t xml:space="preserve"> </w:t>
      </w:r>
      <w:r w:rsidR="00E52A55" w:rsidRPr="00E52A55">
        <w:rPr>
          <w:rFonts w:ascii="Arial" w:eastAsia="Arial" w:hAnsi="Arial" w:cs="Arial"/>
          <w:color w:val="525252"/>
          <w:sz w:val="24"/>
          <w:shd w:val="clear" w:color="auto" w:fill="FFFFFF"/>
          <w:lang w:val="en-US"/>
        </w:rPr>
        <w:t xml:space="preserve">Revenue is lower than </w:t>
      </w:r>
      <w:r w:rsidR="00E52A55">
        <w:rPr>
          <w:rFonts w:ascii="Arial" w:eastAsia="Arial" w:hAnsi="Arial" w:cs="Arial"/>
          <w:color w:val="525252"/>
          <w:sz w:val="24"/>
          <w:shd w:val="clear" w:color="auto" w:fill="FFFFFF"/>
          <w:lang w:val="en-US"/>
        </w:rPr>
        <w:t xml:space="preserve">a </w:t>
      </w:r>
      <w:r w:rsidR="00E52A55" w:rsidRPr="00E52A55">
        <w:rPr>
          <w:rFonts w:ascii="Arial" w:eastAsia="Arial" w:hAnsi="Arial" w:cs="Arial"/>
          <w:color w:val="525252"/>
          <w:sz w:val="24"/>
          <w:shd w:val="clear" w:color="auto" w:fill="FFFFFF"/>
          <w:lang w:val="en-US"/>
        </w:rPr>
        <w:t xml:space="preserve">zero due to a correction of the original CBA where no toll collection was considered in a no-project situation; toll revenue was calculated </w:t>
      </w:r>
      <w:r w:rsidR="00E52A55">
        <w:rPr>
          <w:rFonts w:ascii="Arial" w:eastAsia="Arial" w:hAnsi="Arial" w:cs="Arial"/>
          <w:color w:val="525252"/>
          <w:sz w:val="24"/>
          <w:shd w:val="clear" w:color="auto" w:fill="FFFFFF"/>
          <w:lang w:val="en-US"/>
        </w:rPr>
        <w:t xml:space="preserve">only </w:t>
      </w:r>
      <w:r w:rsidR="00E52A55" w:rsidRPr="00E52A55">
        <w:rPr>
          <w:rFonts w:ascii="Arial" w:eastAsia="Arial" w:hAnsi="Arial" w:cs="Arial"/>
          <w:color w:val="525252"/>
          <w:sz w:val="24"/>
          <w:shd w:val="clear" w:color="auto" w:fill="FFFFFF"/>
          <w:lang w:val="en-US"/>
        </w:rPr>
        <w:t xml:space="preserve">on the </w:t>
      </w:r>
      <w:r w:rsidR="00E52A55">
        <w:rPr>
          <w:rFonts w:ascii="Arial" w:eastAsia="Arial" w:hAnsi="Arial" w:cs="Arial"/>
          <w:color w:val="525252"/>
          <w:sz w:val="24"/>
          <w:shd w:val="clear" w:color="auto" w:fill="FFFFFF"/>
          <w:lang w:val="en-US"/>
        </w:rPr>
        <w:t xml:space="preserve">expressway section R1 </w:t>
      </w:r>
      <w:proofErr w:type="spellStart"/>
      <w:r w:rsidR="00E52A55">
        <w:rPr>
          <w:rFonts w:ascii="Arial" w:eastAsia="Arial" w:hAnsi="Arial" w:cs="Arial"/>
          <w:color w:val="525252"/>
          <w:sz w:val="24"/>
          <w:shd w:val="clear" w:color="auto" w:fill="FFFFFF"/>
          <w:lang w:val="en-US"/>
        </w:rPr>
        <w:t>Žarnovica</w:t>
      </w:r>
      <w:proofErr w:type="spellEnd"/>
      <w:r w:rsidR="00E52A55">
        <w:rPr>
          <w:rFonts w:ascii="Arial" w:eastAsia="Arial" w:hAnsi="Arial" w:cs="Arial"/>
          <w:color w:val="525252"/>
          <w:sz w:val="24"/>
          <w:shd w:val="clear" w:color="auto" w:fill="FFFFFF"/>
          <w:lang w:val="en-US"/>
        </w:rPr>
        <w:t xml:space="preserve"> – </w:t>
      </w:r>
      <w:proofErr w:type="spellStart"/>
      <w:r w:rsidR="00E52A55">
        <w:rPr>
          <w:rFonts w:ascii="Arial" w:eastAsia="Arial" w:hAnsi="Arial" w:cs="Arial"/>
          <w:color w:val="525252"/>
          <w:sz w:val="24"/>
          <w:shd w:val="clear" w:color="auto" w:fill="FFFFFF"/>
          <w:lang w:val="en-US"/>
        </w:rPr>
        <w:t>Šášovské</w:t>
      </w:r>
      <w:proofErr w:type="spellEnd"/>
      <w:r w:rsidR="00E52A55">
        <w:rPr>
          <w:rFonts w:ascii="Arial" w:eastAsia="Arial" w:hAnsi="Arial" w:cs="Arial"/>
          <w:color w:val="525252"/>
          <w:sz w:val="24"/>
          <w:shd w:val="clear" w:color="auto" w:fill="FFFFFF"/>
          <w:lang w:val="en-US"/>
        </w:rPr>
        <w:t xml:space="preserve"> </w:t>
      </w:r>
      <w:proofErr w:type="spellStart"/>
      <w:r w:rsidR="00E52A55">
        <w:rPr>
          <w:rFonts w:ascii="Arial" w:eastAsia="Arial" w:hAnsi="Arial" w:cs="Arial"/>
          <w:color w:val="525252"/>
          <w:sz w:val="24"/>
          <w:shd w:val="clear" w:color="auto" w:fill="FFFFFF"/>
          <w:lang w:val="en-US"/>
        </w:rPr>
        <w:t>podhradie</w:t>
      </w:r>
      <w:proofErr w:type="spellEnd"/>
      <w:r w:rsidR="00E52A55">
        <w:rPr>
          <w:rFonts w:ascii="Arial" w:eastAsia="Arial" w:hAnsi="Arial" w:cs="Arial"/>
          <w:color w:val="525252"/>
          <w:sz w:val="24"/>
          <w:shd w:val="clear" w:color="auto" w:fill="FFFFFF"/>
          <w:lang w:val="en-US"/>
        </w:rPr>
        <w:t>.</w:t>
      </w:r>
    </w:p>
    <w:tbl>
      <w:tblPr>
        <w:tblW w:w="0" w:type="auto"/>
        <w:tblInd w:w="8" w:type="dxa"/>
        <w:tblCellMar>
          <w:left w:w="10" w:type="dxa"/>
          <w:right w:w="10" w:type="dxa"/>
        </w:tblCellMar>
        <w:tblLook w:val="04A0" w:firstRow="1" w:lastRow="0" w:firstColumn="1" w:lastColumn="0" w:noHBand="0" w:noVBand="1"/>
      </w:tblPr>
      <w:tblGrid>
        <w:gridCol w:w="2028"/>
        <w:gridCol w:w="3091"/>
        <w:gridCol w:w="2953"/>
        <w:gridCol w:w="978"/>
      </w:tblGrid>
      <w:tr w:rsidR="00865E20" w:rsidRPr="00E94AAA">
        <w:trPr>
          <w:trHeight w:val="1"/>
        </w:trPr>
        <w:tc>
          <w:tcPr>
            <w:tcW w:w="20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Operation &amp; Maintenance costs</w:t>
            </w:r>
          </w:p>
        </w:tc>
        <w:tc>
          <w:tcPr>
            <w:tcW w:w="309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 897 241 EUR</w:t>
            </w:r>
          </w:p>
        </w:tc>
        <w:tc>
          <w:tcPr>
            <w:tcW w:w="29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1 823 860 EUR</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+103.3%</w:t>
            </w:r>
          </w:p>
        </w:tc>
      </w:tr>
    </w:tbl>
    <w:p w:rsidR="00865E20" w:rsidRPr="00E94AAA"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The real maintenance of the R1 </w:t>
      </w:r>
      <w:proofErr w:type="spellStart"/>
      <w:r w:rsidRPr="00E94AAA">
        <w:rPr>
          <w:rFonts w:ascii="Arial" w:eastAsia="Arial" w:hAnsi="Arial" w:cs="Arial"/>
          <w:color w:val="525252"/>
          <w:sz w:val="24"/>
          <w:shd w:val="clear" w:color="auto" w:fill="FFFFFF"/>
          <w:lang w:val="en-US"/>
        </w:rPr>
        <w:t>Žarnovica</w:t>
      </w:r>
      <w:proofErr w:type="spellEnd"/>
      <w:r w:rsidRPr="00E94AAA">
        <w:rPr>
          <w:rFonts w:ascii="Arial" w:eastAsia="Arial" w:hAnsi="Arial" w:cs="Arial"/>
          <w:color w:val="525252"/>
          <w:sz w:val="24"/>
          <w:shd w:val="clear" w:color="auto" w:fill="FFFFFF"/>
          <w:lang w:val="en-US"/>
        </w:rPr>
        <w:t xml:space="preserve"> - </w:t>
      </w:r>
      <w:proofErr w:type="spellStart"/>
      <w:r w:rsidRPr="00E94AAA">
        <w:rPr>
          <w:rFonts w:ascii="Arial" w:eastAsia="Arial" w:hAnsi="Arial" w:cs="Arial"/>
          <w:color w:val="525252"/>
          <w:sz w:val="24"/>
          <w:shd w:val="clear" w:color="auto" w:fill="FFFFFF"/>
          <w:lang w:val="en-US"/>
        </w:rPr>
        <w:t>Šášovské</w:t>
      </w:r>
      <w:proofErr w:type="spellEnd"/>
      <w:r w:rsidRPr="00E94AAA">
        <w:rPr>
          <w:rFonts w:ascii="Arial" w:eastAsia="Arial" w:hAnsi="Arial" w:cs="Arial"/>
          <w:color w:val="525252"/>
          <w:sz w:val="24"/>
          <w:shd w:val="clear" w:color="auto" w:fill="FFFFFF"/>
          <w:lang w:val="en-US"/>
        </w:rPr>
        <w:t xml:space="preserve"> </w:t>
      </w:r>
      <w:proofErr w:type="spellStart"/>
      <w:r w:rsidRPr="00E94AAA">
        <w:rPr>
          <w:rFonts w:ascii="Arial" w:eastAsia="Arial" w:hAnsi="Arial" w:cs="Arial"/>
          <w:color w:val="525252"/>
          <w:sz w:val="24"/>
          <w:shd w:val="clear" w:color="auto" w:fill="FFFFFF"/>
          <w:lang w:val="en-US"/>
        </w:rPr>
        <w:t>Podhradie</w:t>
      </w:r>
      <w:proofErr w:type="spellEnd"/>
      <w:r w:rsidRPr="00E94AAA">
        <w:rPr>
          <w:rFonts w:ascii="Arial" w:eastAsia="Arial" w:hAnsi="Arial" w:cs="Arial"/>
          <w:color w:val="525252"/>
          <w:sz w:val="24"/>
          <w:shd w:val="clear" w:color="auto" w:fill="FFFFFF"/>
          <w:lang w:val="en-US"/>
        </w:rPr>
        <w:t xml:space="preserve"> section in 2019 was higher than expected. In line with the CBA methodology, it was necessary to recalculate the discounted operation and maintenance costs by the end of the project according to the updated expenditure (from year 2019), which in financial terms means that the project will be more costly.</w:t>
      </w:r>
    </w:p>
    <w:p w:rsidR="00865E20" w:rsidRPr="00E94AAA" w:rsidRDefault="00865E20">
      <w:pPr>
        <w:spacing w:after="0" w:line="240" w:lineRule="auto"/>
        <w:jc w:val="center"/>
        <w:rPr>
          <w:rFonts w:ascii="Arial" w:eastAsia="Arial" w:hAnsi="Arial" w:cs="Arial"/>
          <w:color w:val="525252"/>
          <w:sz w:val="24"/>
          <w:shd w:val="clear" w:color="auto" w:fill="FFFFFF"/>
          <w:lang w:val="en-US"/>
        </w:rPr>
      </w:pPr>
    </w:p>
    <w:p w:rsidR="00865E20" w:rsidRPr="00E94AAA" w:rsidRDefault="001E7F85">
      <w:pPr>
        <w:spacing w:after="0" w:line="240" w:lineRule="auto"/>
        <w:jc w:val="center"/>
        <w:rPr>
          <w:rFonts w:ascii="Arial" w:eastAsia="Arial" w:hAnsi="Arial" w:cs="Arial"/>
          <w:b/>
          <w:color w:val="525252"/>
          <w:sz w:val="24"/>
          <w:shd w:val="clear" w:color="auto" w:fill="FFFFFF"/>
          <w:lang w:val="en-US"/>
        </w:rPr>
      </w:pPr>
      <w:r w:rsidRPr="00E94AAA">
        <w:rPr>
          <w:rFonts w:ascii="Arial" w:eastAsia="Arial" w:hAnsi="Arial" w:cs="Arial"/>
          <w:b/>
          <w:color w:val="525252"/>
          <w:sz w:val="24"/>
          <w:shd w:val="clear" w:color="auto" w:fill="FFFFFF"/>
          <w:lang w:val="en-US"/>
        </w:rPr>
        <w:t>Evaluation of the economic analysis</w:t>
      </w:r>
    </w:p>
    <w:p w:rsidR="00865E20" w:rsidRPr="00E94AAA" w:rsidRDefault="00865E20">
      <w:pPr>
        <w:spacing w:after="0" w:line="240" w:lineRule="auto"/>
        <w:jc w:val="center"/>
        <w:rPr>
          <w:rFonts w:ascii="Arial" w:eastAsia="Arial" w:hAnsi="Arial" w:cs="Arial"/>
          <w:color w:val="525252"/>
          <w:sz w:val="24"/>
          <w:shd w:val="clear" w:color="auto" w:fill="FFFFFF"/>
          <w:lang w:val="en-US"/>
        </w:rPr>
      </w:pPr>
    </w:p>
    <w:p w:rsidR="00214EBF" w:rsidRPr="00CC568B" w:rsidRDefault="001E7F85" w:rsidP="00214EBF">
      <w:pPr>
        <w:spacing w:before="120" w:after="120" w:line="240" w:lineRule="auto"/>
        <w:ind w:firstLine="708"/>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The cost benefit ratio (B/C) has increased from </w:t>
      </w:r>
      <w:r w:rsidRPr="00E94AAA">
        <w:rPr>
          <w:rFonts w:ascii="Arial" w:eastAsia="Arial" w:hAnsi="Arial" w:cs="Arial"/>
          <w:b/>
          <w:color w:val="525252"/>
          <w:sz w:val="24"/>
          <w:shd w:val="clear" w:color="auto" w:fill="FFFFFF"/>
          <w:lang w:val="en-US"/>
        </w:rPr>
        <w:t>2.84</w:t>
      </w:r>
      <w:r w:rsidRPr="00E94AAA">
        <w:rPr>
          <w:rFonts w:ascii="Arial" w:eastAsia="Arial" w:hAnsi="Arial" w:cs="Arial"/>
          <w:color w:val="525252"/>
          <w:sz w:val="24"/>
          <w:shd w:val="clear" w:color="auto" w:fill="FFFFFF"/>
          <w:lang w:val="en-US"/>
        </w:rPr>
        <w:t> to </w:t>
      </w:r>
      <w:r w:rsidRPr="00E94AAA">
        <w:rPr>
          <w:rFonts w:ascii="Arial" w:eastAsia="Arial" w:hAnsi="Arial" w:cs="Arial"/>
          <w:b/>
          <w:color w:val="525252"/>
          <w:sz w:val="24"/>
          <w:shd w:val="clear" w:color="auto" w:fill="FFFFFF"/>
          <w:lang w:val="en-US"/>
        </w:rPr>
        <w:t>3.36</w:t>
      </w:r>
      <w:r w:rsidRPr="00E94AAA">
        <w:rPr>
          <w:rFonts w:ascii="Arial" w:eastAsia="Arial" w:hAnsi="Arial" w:cs="Arial"/>
          <w:color w:val="525252"/>
          <w:sz w:val="24"/>
          <w:shd w:val="clear" w:color="auto" w:fill="FFFFFF"/>
          <w:lang w:val="en-US"/>
        </w:rPr>
        <w:t>. The increase of B/C value was caused due to the higher values of almost all indicators stated below.</w:t>
      </w:r>
      <w:r w:rsidR="00214EBF">
        <w:rPr>
          <w:rFonts w:ascii="Arial" w:eastAsia="Arial" w:hAnsi="Arial" w:cs="Arial"/>
          <w:color w:val="525252"/>
          <w:sz w:val="24"/>
          <w:shd w:val="clear" w:color="auto" w:fill="FFFFFF"/>
          <w:lang w:val="en-US"/>
        </w:rPr>
        <w:t xml:space="preserve"> </w:t>
      </w:r>
      <w:r w:rsidR="00214EBF" w:rsidRPr="00CC568B">
        <w:rPr>
          <w:rFonts w:ascii="Arial" w:eastAsia="Arial" w:hAnsi="Arial" w:cs="Arial"/>
          <w:color w:val="525252"/>
          <w:sz w:val="24"/>
          <w:shd w:val="clear" w:color="auto" w:fill="FFFFFF"/>
          <w:lang w:val="en-US"/>
        </w:rPr>
        <w:t xml:space="preserve">The ERR (economic rate of return) also </w:t>
      </w:r>
      <w:r w:rsidR="00214EBF">
        <w:rPr>
          <w:rFonts w:ascii="Arial" w:eastAsia="Arial" w:hAnsi="Arial" w:cs="Arial"/>
          <w:color w:val="525252"/>
          <w:sz w:val="24"/>
          <w:shd w:val="clear" w:color="auto" w:fill="FFFFFF"/>
          <w:lang w:val="en-US"/>
        </w:rPr>
        <w:t xml:space="preserve">increased </w:t>
      </w:r>
      <w:r w:rsidR="00214EBF" w:rsidRPr="00CC568B">
        <w:rPr>
          <w:rFonts w:ascii="Arial" w:eastAsia="Arial" w:hAnsi="Arial" w:cs="Arial"/>
          <w:color w:val="525252"/>
          <w:sz w:val="24"/>
          <w:shd w:val="clear" w:color="auto" w:fill="FFFFFF"/>
          <w:lang w:val="en-US"/>
        </w:rPr>
        <w:t xml:space="preserve">from </w:t>
      </w:r>
      <w:r w:rsidR="00214EBF">
        <w:rPr>
          <w:rFonts w:ascii="Arial" w:eastAsia="Arial" w:hAnsi="Arial" w:cs="Arial"/>
          <w:b/>
          <w:color w:val="525252"/>
          <w:sz w:val="24"/>
          <w:shd w:val="clear" w:color="auto" w:fill="FFFFFF"/>
          <w:lang w:val="en-US"/>
        </w:rPr>
        <w:t>17.1</w:t>
      </w:r>
      <w:r w:rsidR="00214EBF" w:rsidRPr="00CC568B">
        <w:rPr>
          <w:rFonts w:ascii="Arial" w:eastAsia="Arial" w:hAnsi="Arial" w:cs="Arial"/>
          <w:b/>
          <w:color w:val="525252"/>
          <w:sz w:val="24"/>
          <w:shd w:val="clear" w:color="auto" w:fill="FFFFFF"/>
          <w:lang w:val="en-US"/>
        </w:rPr>
        <w:t>%</w:t>
      </w:r>
      <w:r w:rsidR="00214EBF" w:rsidRPr="00CC568B">
        <w:rPr>
          <w:rFonts w:ascii="Arial" w:eastAsia="Arial" w:hAnsi="Arial" w:cs="Arial"/>
          <w:color w:val="525252"/>
          <w:sz w:val="24"/>
          <w:shd w:val="clear" w:color="auto" w:fill="FFFFFF"/>
          <w:lang w:val="en-US"/>
        </w:rPr>
        <w:t xml:space="preserve"> to </w:t>
      </w:r>
      <w:r w:rsidR="00214EBF">
        <w:rPr>
          <w:rFonts w:ascii="Arial" w:eastAsia="Arial" w:hAnsi="Arial" w:cs="Arial"/>
          <w:b/>
          <w:color w:val="525252"/>
          <w:sz w:val="24"/>
          <w:shd w:val="clear" w:color="auto" w:fill="FFFFFF"/>
          <w:lang w:val="en-US"/>
        </w:rPr>
        <w:t>17</w:t>
      </w:r>
      <w:r w:rsidR="00214EBF" w:rsidRPr="00CC568B">
        <w:rPr>
          <w:rFonts w:ascii="Arial" w:eastAsia="Arial" w:hAnsi="Arial" w:cs="Arial"/>
          <w:b/>
          <w:color w:val="525252"/>
          <w:sz w:val="24"/>
          <w:shd w:val="clear" w:color="auto" w:fill="FFFFFF"/>
          <w:lang w:val="en-US"/>
        </w:rPr>
        <w:t>.7%</w:t>
      </w:r>
      <w:r w:rsidR="00214EBF" w:rsidRPr="00CC568B">
        <w:rPr>
          <w:rFonts w:ascii="Arial" w:eastAsia="Arial" w:hAnsi="Arial" w:cs="Arial"/>
          <w:color w:val="525252"/>
          <w:sz w:val="24"/>
          <w:shd w:val="clear" w:color="auto" w:fill="FFFFFF"/>
          <w:lang w:val="en-US"/>
        </w:rPr>
        <w:t xml:space="preserve"> but remains </w:t>
      </w:r>
      <w:r w:rsidR="00214EBF">
        <w:rPr>
          <w:rFonts w:ascii="Arial" w:eastAsia="Arial" w:hAnsi="Arial" w:cs="Arial"/>
          <w:color w:val="525252"/>
          <w:sz w:val="24"/>
          <w:shd w:val="clear" w:color="auto" w:fill="FFFFFF"/>
          <w:lang w:val="en-US"/>
        </w:rPr>
        <w:t xml:space="preserve">still </w:t>
      </w:r>
      <w:r w:rsidR="00214EBF" w:rsidRPr="00CC568B">
        <w:rPr>
          <w:rFonts w:ascii="Arial" w:eastAsia="Arial" w:hAnsi="Arial" w:cs="Arial"/>
          <w:color w:val="525252"/>
          <w:sz w:val="24"/>
          <w:shd w:val="clear" w:color="auto" w:fill="FFFFFF"/>
          <w:lang w:val="en-US"/>
        </w:rPr>
        <w:t>several times higher than the economic discount rate.</w:t>
      </w:r>
    </w:p>
    <w:p w:rsidR="00214EBF" w:rsidRPr="00CC568B" w:rsidRDefault="00214EBF" w:rsidP="00214EBF">
      <w:pPr>
        <w:spacing w:before="120"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All savings data below are discounted at an economic discount rate of 5%.</w:t>
      </w:r>
    </w:p>
    <w:p w:rsidR="00865E20" w:rsidRPr="00E94AAA" w:rsidRDefault="00865E20">
      <w:pPr>
        <w:spacing w:before="120" w:after="120" w:line="240" w:lineRule="auto"/>
        <w:jc w:val="both"/>
        <w:rPr>
          <w:rFonts w:ascii="Arial" w:eastAsia="Arial" w:hAnsi="Arial" w:cs="Arial"/>
          <w:color w:val="525252"/>
          <w:sz w:val="24"/>
          <w:shd w:val="clear" w:color="auto" w:fill="FFFFFF"/>
          <w:lang w:val="en-US"/>
        </w:rPr>
      </w:pPr>
    </w:p>
    <w:tbl>
      <w:tblPr>
        <w:tblW w:w="0" w:type="auto"/>
        <w:tblInd w:w="8" w:type="dxa"/>
        <w:tblCellMar>
          <w:left w:w="10" w:type="dxa"/>
          <w:right w:w="10" w:type="dxa"/>
        </w:tblCellMar>
        <w:tblLook w:val="04A0" w:firstRow="1" w:lastRow="0" w:firstColumn="1" w:lastColumn="0" w:noHBand="0" w:noVBand="1"/>
      </w:tblPr>
      <w:tblGrid>
        <w:gridCol w:w="2496"/>
        <w:gridCol w:w="2640"/>
        <w:gridCol w:w="2653"/>
        <w:gridCol w:w="1261"/>
      </w:tblGrid>
      <w:tr w:rsidR="00865E20" w:rsidRPr="00E94AAA">
        <w:trPr>
          <w:trHeight w:val="1"/>
        </w:trPr>
        <w:tc>
          <w:tcPr>
            <w:tcW w:w="2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Passenger travel time savings</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316 222 135 EUR</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333 684 192 EUR</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+5.5%</w:t>
            </w:r>
          </w:p>
        </w:tc>
      </w:tr>
    </w:tbl>
    <w:p w:rsidR="00865E20" w:rsidRPr="00E94AAA"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 xml:space="preserve">Due to application of the real traffic intensities from several automatic traffic counters, the passenger transport (which affects the time savings of passengers much more than the freight transport) in 2019 on the </w:t>
      </w:r>
      <w:proofErr w:type="spellStart"/>
      <w:r w:rsidRPr="00E94AAA">
        <w:rPr>
          <w:rFonts w:ascii="Arial" w:eastAsia="Arial" w:hAnsi="Arial" w:cs="Arial"/>
          <w:color w:val="525252"/>
          <w:sz w:val="24"/>
          <w:shd w:val="clear" w:color="auto" w:fill="FFFFFF"/>
          <w:lang w:val="en-US"/>
        </w:rPr>
        <w:t>Žarnovica</w:t>
      </w:r>
      <w:proofErr w:type="spellEnd"/>
      <w:r w:rsidRPr="00E94AAA">
        <w:rPr>
          <w:rFonts w:ascii="Arial" w:eastAsia="Arial" w:hAnsi="Arial" w:cs="Arial"/>
          <w:color w:val="525252"/>
          <w:sz w:val="24"/>
          <w:shd w:val="clear" w:color="auto" w:fill="FFFFFF"/>
          <w:lang w:val="en-US"/>
        </w:rPr>
        <w:t xml:space="preserve"> - </w:t>
      </w:r>
      <w:proofErr w:type="spellStart"/>
      <w:r w:rsidRPr="00E94AAA">
        <w:rPr>
          <w:rFonts w:ascii="Arial" w:eastAsia="Arial" w:hAnsi="Arial" w:cs="Arial"/>
          <w:color w:val="525252"/>
          <w:sz w:val="24"/>
          <w:shd w:val="clear" w:color="auto" w:fill="FFFFFF"/>
          <w:lang w:val="en-US"/>
        </w:rPr>
        <w:t>Žiar</w:t>
      </w:r>
      <w:proofErr w:type="spellEnd"/>
      <w:r w:rsidRPr="00E94AAA">
        <w:rPr>
          <w:rFonts w:ascii="Arial" w:eastAsia="Arial" w:hAnsi="Arial" w:cs="Arial"/>
          <w:color w:val="525252"/>
          <w:sz w:val="24"/>
          <w:shd w:val="clear" w:color="auto" w:fill="FFFFFF"/>
          <w:lang w:val="en-US"/>
        </w:rPr>
        <w:t xml:space="preserve"> </w:t>
      </w:r>
      <w:proofErr w:type="spellStart"/>
      <w:r w:rsidRPr="00E94AAA">
        <w:rPr>
          <w:rFonts w:ascii="Arial" w:eastAsia="Arial" w:hAnsi="Arial" w:cs="Arial"/>
          <w:color w:val="525252"/>
          <w:sz w:val="24"/>
          <w:shd w:val="clear" w:color="auto" w:fill="FFFFFF"/>
          <w:lang w:val="en-US"/>
        </w:rPr>
        <w:t>nad</w:t>
      </w:r>
      <w:proofErr w:type="spellEnd"/>
      <w:r w:rsidRPr="00E94AAA">
        <w:rPr>
          <w:rFonts w:ascii="Arial" w:eastAsia="Arial" w:hAnsi="Arial" w:cs="Arial"/>
          <w:color w:val="525252"/>
          <w:sz w:val="24"/>
          <w:shd w:val="clear" w:color="auto" w:fill="FFFFFF"/>
          <w:lang w:val="en-US"/>
        </w:rPr>
        <w:t xml:space="preserve"> </w:t>
      </w:r>
      <w:proofErr w:type="spellStart"/>
      <w:r w:rsidRPr="00E94AAA">
        <w:rPr>
          <w:rFonts w:ascii="Arial" w:eastAsia="Arial" w:hAnsi="Arial" w:cs="Arial"/>
          <w:color w:val="525252"/>
          <w:sz w:val="24"/>
          <w:shd w:val="clear" w:color="auto" w:fill="FFFFFF"/>
          <w:lang w:val="en-US"/>
        </w:rPr>
        <w:t>Hronom</w:t>
      </w:r>
      <w:proofErr w:type="spellEnd"/>
      <w:r w:rsidRPr="00E94AAA">
        <w:rPr>
          <w:rFonts w:ascii="Arial" w:eastAsia="Arial" w:hAnsi="Arial" w:cs="Arial"/>
          <w:color w:val="525252"/>
          <w:sz w:val="24"/>
          <w:shd w:val="clear" w:color="auto" w:fill="FFFFFF"/>
          <w:lang w:val="en-US"/>
        </w:rPr>
        <w:t xml:space="preserve"> section was higher than the estimate; in the section </w:t>
      </w:r>
      <w:proofErr w:type="spellStart"/>
      <w:r w:rsidRPr="00E94AAA">
        <w:rPr>
          <w:rFonts w:ascii="Arial" w:eastAsia="Arial" w:hAnsi="Arial" w:cs="Arial"/>
          <w:color w:val="525252"/>
          <w:sz w:val="24"/>
          <w:shd w:val="clear" w:color="auto" w:fill="FFFFFF"/>
          <w:lang w:val="en-US"/>
        </w:rPr>
        <w:t>Žiar</w:t>
      </w:r>
      <w:proofErr w:type="spellEnd"/>
      <w:r w:rsidRPr="00E94AAA">
        <w:rPr>
          <w:rFonts w:ascii="Arial" w:eastAsia="Arial" w:hAnsi="Arial" w:cs="Arial"/>
          <w:color w:val="525252"/>
          <w:sz w:val="24"/>
          <w:shd w:val="clear" w:color="auto" w:fill="FFFFFF"/>
          <w:lang w:val="en-US"/>
        </w:rPr>
        <w:t xml:space="preserve"> </w:t>
      </w:r>
      <w:proofErr w:type="spellStart"/>
      <w:r w:rsidRPr="00E94AAA">
        <w:rPr>
          <w:rFonts w:ascii="Arial" w:eastAsia="Arial" w:hAnsi="Arial" w:cs="Arial"/>
          <w:color w:val="525252"/>
          <w:sz w:val="24"/>
          <w:shd w:val="clear" w:color="auto" w:fill="FFFFFF"/>
          <w:lang w:val="en-US"/>
        </w:rPr>
        <w:t>nad</w:t>
      </w:r>
      <w:proofErr w:type="spellEnd"/>
      <w:r w:rsidRPr="00E94AAA">
        <w:rPr>
          <w:rFonts w:ascii="Arial" w:eastAsia="Arial" w:hAnsi="Arial" w:cs="Arial"/>
          <w:color w:val="525252"/>
          <w:sz w:val="24"/>
          <w:shd w:val="clear" w:color="auto" w:fill="FFFFFF"/>
          <w:lang w:val="en-US"/>
        </w:rPr>
        <w:t xml:space="preserve"> </w:t>
      </w:r>
      <w:proofErr w:type="spellStart"/>
      <w:r w:rsidRPr="00E94AAA">
        <w:rPr>
          <w:rFonts w:ascii="Arial" w:eastAsia="Arial" w:hAnsi="Arial" w:cs="Arial"/>
          <w:color w:val="525252"/>
          <w:sz w:val="24"/>
          <w:shd w:val="clear" w:color="auto" w:fill="FFFFFF"/>
          <w:lang w:val="en-US"/>
        </w:rPr>
        <w:t>Hronom</w:t>
      </w:r>
      <w:proofErr w:type="spellEnd"/>
      <w:r w:rsidRPr="00E94AAA">
        <w:rPr>
          <w:rFonts w:ascii="Arial" w:eastAsia="Arial" w:hAnsi="Arial" w:cs="Arial"/>
          <w:color w:val="525252"/>
          <w:sz w:val="24"/>
          <w:shd w:val="clear" w:color="auto" w:fill="FFFFFF"/>
          <w:lang w:val="en-US"/>
        </w:rPr>
        <w:t xml:space="preserve"> – </w:t>
      </w:r>
      <w:proofErr w:type="spellStart"/>
      <w:r w:rsidRPr="00E94AAA">
        <w:rPr>
          <w:rFonts w:ascii="Arial" w:eastAsia="Arial" w:hAnsi="Arial" w:cs="Arial"/>
          <w:color w:val="525252"/>
          <w:sz w:val="24"/>
          <w:shd w:val="clear" w:color="auto" w:fill="FFFFFF"/>
          <w:lang w:val="en-US"/>
        </w:rPr>
        <w:t>Šášovské</w:t>
      </w:r>
      <w:proofErr w:type="spellEnd"/>
      <w:r w:rsidRPr="00E94AAA">
        <w:rPr>
          <w:rFonts w:ascii="Arial" w:eastAsia="Arial" w:hAnsi="Arial" w:cs="Arial"/>
          <w:color w:val="525252"/>
          <w:sz w:val="24"/>
          <w:shd w:val="clear" w:color="auto" w:fill="FFFFFF"/>
          <w:lang w:val="en-US"/>
        </w:rPr>
        <w:t xml:space="preserve"> </w:t>
      </w:r>
      <w:proofErr w:type="spellStart"/>
      <w:r w:rsidRPr="00E94AAA">
        <w:rPr>
          <w:rFonts w:ascii="Arial" w:eastAsia="Arial" w:hAnsi="Arial" w:cs="Arial"/>
          <w:color w:val="525252"/>
          <w:sz w:val="24"/>
          <w:shd w:val="clear" w:color="auto" w:fill="FFFFFF"/>
          <w:lang w:val="en-US"/>
        </w:rPr>
        <w:t>podhradie</w:t>
      </w:r>
      <w:proofErr w:type="spellEnd"/>
      <w:r w:rsidRPr="00E94AAA">
        <w:rPr>
          <w:rFonts w:ascii="Arial" w:eastAsia="Arial" w:hAnsi="Arial" w:cs="Arial"/>
          <w:color w:val="525252"/>
          <w:sz w:val="24"/>
          <w:shd w:val="clear" w:color="auto" w:fill="FFFFFF"/>
          <w:lang w:val="en-US"/>
        </w:rPr>
        <w:t xml:space="preserve"> passenger transport was lower than the estimate. Thus, after a total recalculation, the passenger time savings have increased.</w:t>
      </w:r>
    </w:p>
    <w:tbl>
      <w:tblPr>
        <w:tblW w:w="0" w:type="auto"/>
        <w:tblInd w:w="8" w:type="dxa"/>
        <w:tblCellMar>
          <w:left w:w="10" w:type="dxa"/>
          <w:right w:w="10" w:type="dxa"/>
        </w:tblCellMar>
        <w:tblLook w:val="04A0" w:firstRow="1" w:lastRow="0" w:firstColumn="1" w:lastColumn="0" w:noHBand="0" w:noVBand="1"/>
      </w:tblPr>
      <w:tblGrid>
        <w:gridCol w:w="2552"/>
        <w:gridCol w:w="2585"/>
        <w:gridCol w:w="2660"/>
        <w:gridCol w:w="1275"/>
      </w:tblGrid>
      <w:tr w:rsidR="00865E20" w:rsidRPr="00E94AAA">
        <w:trPr>
          <w:trHeight w:val="1"/>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Fuel costs savings</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3 038 166 EUR</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12 926 615 EUR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+325.5%</w:t>
            </w:r>
          </w:p>
        </w:tc>
      </w:tr>
      <w:tr w:rsidR="00865E20" w:rsidRPr="00E94AAA">
        <w:trPr>
          <w:trHeight w:val="1"/>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Other vehicle operating costs savings</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-7 993 054 EUR</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25 942 157 EUR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+424.6%</w:t>
            </w:r>
          </w:p>
        </w:tc>
      </w:tr>
    </w:tbl>
    <w:p w:rsidR="00865E20"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The higher values ​​of the vehicle operating cost savings (vehicle operating costs consist of the fuel consumption costs and other operating costs of vehicles, such as depreciations) were mostly affected by lower freight traffic in 2019 across all measured sections and subsequently adjusting traffic volumes by 2037.</w:t>
      </w:r>
    </w:p>
    <w:p w:rsidR="006B0B53" w:rsidRDefault="006B0B53">
      <w:pPr>
        <w:spacing w:before="120" w:after="120" w:line="240" w:lineRule="auto"/>
        <w:jc w:val="both"/>
        <w:rPr>
          <w:rFonts w:ascii="Arial" w:eastAsia="Arial" w:hAnsi="Arial" w:cs="Arial"/>
          <w:color w:val="525252"/>
          <w:sz w:val="24"/>
          <w:shd w:val="clear" w:color="auto" w:fill="FFFFFF"/>
          <w:lang w:val="en-US"/>
        </w:rPr>
      </w:pPr>
    </w:p>
    <w:p w:rsidR="006B0B53" w:rsidRPr="00E94AAA" w:rsidRDefault="006B0B53">
      <w:pPr>
        <w:spacing w:before="120" w:after="120" w:line="240" w:lineRule="auto"/>
        <w:jc w:val="both"/>
        <w:rPr>
          <w:rFonts w:ascii="Arial" w:eastAsia="Arial" w:hAnsi="Arial" w:cs="Arial"/>
          <w:color w:val="525252"/>
          <w:sz w:val="24"/>
          <w:shd w:val="clear" w:color="auto" w:fill="FFFFFF"/>
          <w:lang w:val="en-US"/>
        </w:rPr>
      </w:pPr>
    </w:p>
    <w:tbl>
      <w:tblPr>
        <w:tblW w:w="0" w:type="auto"/>
        <w:tblInd w:w="8" w:type="dxa"/>
        <w:tblCellMar>
          <w:left w:w="10" w:type="dxa"/>
          <w:right w:w="10" w:type="dxa"/>
        </w:tblCellMar>
        <w:tblLook w:val="04A0" w:firstRow="1" w:lastRow="0" w:firstColumn="1" w:lastColumn="0" w:noHBand="0" w:noVBand="1"/>
      </w:tblPr>
      <w:tblGrid>
        <w:gridCol w:w="2521"/>
        <w:gridCol w:w="2595"/>
        <w:gridCol w:w="2673"/>
        <w:gridCol w:w="1261"/>
      </w:tblGrid>
      <w:tr w:rsidR="00865E20" w:rsidRPr="00E94AAA">
        <w:trPr>
          <w:trHeight w:val="1"/>
        </w:trPr>
        <w:tc>
          <w:tcPr>
            <w:tcW w:w="252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lastRenderedPageBreak/>
              <w:t>Accident costs savings</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54 919 095 EUR</w:t>
            </w:r>
          </w:p>
        </w:tc>
        <w:tc>
          <w:tcPr>
            <w:tcW w:w="267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54 503 861 EUR</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-0.8%</w:t>
            </w:r>
          </w:p>
        </w:tc>
      </w:tr>
    </w:tbl>
    <w:p w:rsidR="00865E20" w:rsidRPr="00E94AAA"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The accident rate was calculated on the basis of the number of accidents for year 2019 both on the parallel road I/65 eventually on expressway R1.</w:t>
      </w:r>
    </w:p>
    <w:tbl>
      <w:tblPr>
        <w:tblW w:w="0" w:type="auto"/>
        <w:tblInd w:w="8" w:type="dxa"/>
        <w:tblCellMar>
          <w:left w:w="10" w:type="dxa"/>
          <w:right w:w="10" w:type="dxa"/>
        </w:tblCellMar>
        <w:tblLook w:val="04A0" w:firstRow="1" w:lastRow="0" w:firstColumn="1" w:lastColumn="0" w:noHBand="0" w:noVBand="1"/>
      </w:tblPr>
      <w:tblGrid>
        <w:gridCol w:w="2498"/>
        <w:gridCol w:w="2573"/>
        <w:gridCol w:w="3143"/>
        <w:gridCol w:w="836"/>
      </w:tblGrid>
      <w:tr w:rsidR="00865E20" w:rsidRPr="00E94AAA">
        <w:trPr>
          <w:trHeight w:val="1"/>
        </w:trPr>
        <w:tc>
          <w:tcPr>
            <w:tcW w:w="249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Emission costs savings</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35 434 861 EUR</w:t>
            </w:r>
          </w:p>
        </w:tc>
        <w:tc>
          <w:tcPr>
            <w:tcW w:w="31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 xml:space="preserve"> 54 526 202 EUR</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+53.9%</w:t>
            </w:r>
          </w:p>
        </w:tc>
      </w:tr>
    </w:tbl>
    <w:p w:rsidR="00865E20" w:rsidRPr="00E94AAA"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On the basis of the incremental fuel consumption (this is the most important basis for calculating emissions) throughout the reference period the savings were calculated. If there are fuel savings (see fuel costs savings paragraph above), there is also savings in emissions produced by the car traffic.</w:t>
      </w:r>
    </w:p>
    <w:tbl>
      <w:tblPr>
        <w:tblW w:w="0" w:type="auto"/>
        <w:tblInd w:w="8" w:type="dxa"/>
        <w:tblCellMar>
          <w:left w:w="10" w:type="dxa"/>
          <w:right w:w="10" w:type="dxa"/>
        </w:tblCellMar>
        <w:tblLook w:val="04A0" w:firstRow="1" w:lastRow="0" w:firstColumn="1" w:lastColumn="0" w:noHBand="0" w:noVBand="1"/>
      </w:tblPr>
      <w:tblGrid>
        <w:gridCol w:w="2517"/>
        <w:gridCol w:w="2604"/>
        <w:gridCol w:w="3178"/>
        <w:gridCol w:w="751"/>
      </w:tblGrid>
      <w:tr w:rsidR="00865E20" w:rsidRPr="00E94AAA">
        <w:trPr>
          <w:trHeight w:val="1"/>
        </w:trPr>
        <w:tc>
          <w:tcPr>
            <w:tcW w:w="251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Noise costs savings</w:t>
            </w:r>
          </w:p>
        </w:tc>
        <w:tc>
          <w:tcPr>
            <w:tcW w:w="260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Pr="00CC568B" w:rsidRDefault="00896BBA" w:rsidP="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9 745 117 EUR</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96BBA" w:rsidRDefault="00896BBA">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w:t>
            </w:r>
            <w:r>
              <w:rPr>
                <w:rFonts w:ascii="Arial" w:eastAsia="Arial" w:hAnsi="Arial" w:cs="Arial"/>
                <w:color w:val="525252"/>
                <w:sz w:val="24"/>
                <w:lang w:val="en-US"/>
              </w:rPr>
              <w:t>fter the update</w:t>
            </w:r>
          </w:p>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9 990 345 EUR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865E20" w:rsidRPr="00E94AAA" w:rsidRDefault="001E7F85">
            <w:pPr>
              <w:spacing w:after="0" w:line="240" w:lineRule="auto"/>
              <w:jc w:val="center"/>
              <w:rPr>
                <w:lang w:val="en-US"/>
              </w:rPr>
            </w:pPr>
            <w:r w:rsidRPr="00E94AAA">
              <w:rPr>
                <w:rFonts w:ascii="Arial" w:eastAsia="Arial" w:hAnsi="Arial" w:cs="Arial"/>
                <w:b/>
                <w:color w:val="525252"/>
                <w:sz w:val="24"/>
                <w:lang w:val="en-US"/>
              </w:rPr>
              <w:t>+2.5%</w:t>
            </w:r>
          </w:p>
        </w:tc>
      </w:tr>
    </w:tbl>
    <w:p w:rsidR="00865E20" w:rsidRDefault="001E7F85">
      <w:pPr>
        <w:spacing w:before="120" w:after="120" w:line="240" w:lineRule="auto"/>
        <w:jc w:val="both"/>
        <w:rPr>
          <w:rFonts w:ascii="Arial" w:eastAsia="Arial" w:hAnsi="Arial" w:cs="Arial"/>
          <w:color w:val="525252"/>
          <w:sz w:val="24"/>
          <w:shd w:val="clear" w:color="auto" w:fill="FFFFFF"/>
          <w:lang w:val="en-US"/>
        </w:rPr>
      </w:pPr>
      <w:r w:rsidRPr="00E94AAA">
        <w:rPr>
          <w:rFonts w:ascii="Arial" w:eastAsia="Arial" w:hAnsi="Arial" w:cs="Arial"/>
          <w:color w:val="525252"/>
          <w:sz w:val="24"/>
          <w:shd w:val="clear" w:color="auto" w:fill="FFFFFF"/>
          <w:lang w:val="en-US"/>
        </w:rPr>
        <w:t>Similarly (as for the emissions costs savings), if the traffic intensity is lower (especially freight transport; freight intensity decreased in 2019), the exposure of the population to noise is also lower.</w:t>
      </w:r>
    </w:p>
    <w:p w:rsidR="001E7F85" w:rsidRPr="00E94AAA" w:rsidRDefault="001E7F85">
      <w:pPr>
        <w:spacing w:before="120" w:after="120" w:line="240" w:lineRule="auto"/>
        <w:jc w:val="both"/>
        <w:rPr>
          <w:rFonts w:ascii="Arial" w:eastAsia="Arial" w:hAnsi="Arial" w:cs="Arial"/>
          <w:color w:val="525252"/>
          <w:sz w:val="24"/>
          <w:shd w:val="clear" w:color="auto" w:fill="FFFFFF"/>
          <w:lang w:val="en-US"/>
        </w:rPr>
      </w:pPr>
    </w:p>
    <w:p w:rsidR="001E7F85" w:rsidRPr="00CC568B" w:rsidRDefault="001E7F85" w:rsidP="001E7F85">
      <w:pPr>
        <w:spacing w:after="0" w:line="240" w:lineRule="auto"/>
        <w:jc w:val="center"/>
        <w:rPr>
          <w:rFonts w:ascii="Arial" w:eastAsia="Arial" w:hAnsi="Arial" w:cs="Arial"/>
          <w:b/>
          <w:color w:val="525252"/>
          <w:sz w:val="24"/>
          <w:shd w:val="clear" w:color="auto" w:fill="FFFFFF"/>
          <w:lang w:val="en-US"/>
        </w:rPr>
      </w:pPr>
      <w:r>
        <w:rPr>
          <w:rFonts w:ascii="Arial" w:eastAsia="Arial" w:hAnsi="Arial" w:cs="Arial"/>
          <w:b/>
          <w:color w:val="525252"/>
          <w:sz w:val="24"/>
          <w:shd w:val="clear" w:color="auto" w:fill="FFFFFF"/>
          <w:lang w:val="en-US"/>
        </w:rPr>
        <w:t>Final evalu</w:t>
      </w:r>
      <w:r w:rsidR="005F5C97">
        <w:rPr>
          <w:rFonts w:ascii="Arial" w:eastAsia="Arial" w:hAnsi="Arial" w:cs="Arial"/>
          <w:b/>
          <w:color w:val="525252"/>
          <w:sz w:val="24"/>
          <w:shd w:val="clear" w:color="auto" w:fill="FFFFFF"/>
          <w:lang w:val="en-US"/>
        </w:rPr>
        <w:t>a</w:t>
      </w:r>
      <w:r>
        <w:rPr>
          <w:rFonts w:ascii="Arial" w:eastAsia="Arial" w:hAnsi="Arial" w:cs="Arial"/>
          <w:b/>
          <w:color w:val="525252"/>
          <w:sz w:val="24"/>
          <w:shd w:val="clear" w:color="auto" w:fill="FFFFFF"/>
          <w:lang w:val="en-US"/>
        </w:rPr>
        <w:t>tion</w:t>
      </w:r>
    </w:p>
    <w:p w:rsidR="001E7F85" w:rsidRDefault="001E7F85" w:rsidP="001E7F85">
      <w:pPr>
        <w:spacing w:before="120" w:after="120" w:line="240" w:lineRule="auto"/>
        <w:ind w:firstLine="708"/>
        <w:jc w:val="both"/>
        <w:rPr>
          <w:rFonts w:ascii="Arial" w:eastAsia="Arial" w:hAnsi="Arial" w:cs="Arial"/>
          <w:color w:val="525252"/>
          <w:sz w:val="24"/>
          <w:shd w:val="clear" w:color="auto" w:fill="FFFFFF"/>
          <w:lang w:val="en-US"/>
        </w:rPr>
      </w:pPr>
    </w:p>
    <w:p w:rsidR="001E7F85" w:rsidRPr="007170B0" w:rsidRDefault="001E7F85" w:rsidP="001E7F85">
      <w:pPr>
        <w:spacing w:before="120" w:after="120" w:line="240" w:lineRule="auto"/>
        <w:ind w:firstLine="708"/>
        <w:jc w:val="both"/>
        <w:rPr>
          <w:rFonts w:ascii="Arial" w:eastAsia="Arial" w:hAnsi="Arial" w:cs="Arial"/>
          <w:color w:val="525252"/>
          <w:sz w:val="24"/>
          <w:shd w:val="clear" w:color="auto" w:fill="FFFFFF"/>
          <w:lang w:val="en-US"/>
        </w:rPr>
      </w:pPr>
      <w:r w:rsidRPr="007170B0">
        <w:rPr>
          <w:rFonts w:ascii="Arial" w:eastAsia="Arial" w:hAnsi="Arial" w:cs="Arial"/>
          <w:color w:val="525252"/>
          <w:sz w:val="24"/>
          <w:shd w:val="clear" w:color="auto" w:fill="FFFFFF"/>
          <w:lang w:val="en-US"/>
        </w:rPr>
        <w:t>The financial analysis confirmed the assumption that the project could not fully cover the expenditures from its revenues, moreover at present, the financial contribution from the Cohesion Fund should be higher than originally provided.</w:t>
      </w:r>
    </w:p>
    <w:p w:rsidR="001E7F85" w:rsidRPr="007170B0" w:rsidRDefault="001E7F85" w:rsidP="005F5C97">
      <w:pPr>
        <w:pStyle w:val="PredformtovanHTML"/>
        <w:jc w:val="both"/>
        <w:rPr>
          <w:rFonts w:ascii="Arial" w:eastAsia="Arial" w:hAnsi="Arial" w:cs="Arial"/>
          <w:color w:val="525252"/>
          <w:sz w:val="24"/>
          <w:shd w:val="clear" w:color="auto" w:fill="FFFFFF"/>
          <w:lang w:val="en-US"/>
        </w:rPr>
      </w:pPr>
      <w:r>
        <w:rPr>
          <w:rFonts w:ascii="Arial" w:eastAsia="Arial" w:hAnsi="Arial" w:cs="Arial"/>
          <w:color w:val="525252"/>
          <w:sz w:val="24"/>
          <w:shd w:val="clear" w:color="auto" w:fill="FFFFFF"/>
          <w:lang w:val="en-US"/>
        </w:rPr>
        <w:tab/>
      </w:r>
      <w:r w:rsidRPr="007170B0">
        <w:rPr>
          <w:rFonts w:ascii="Arial" w:eastAsia="Arial" w:hAnsi="Arial" w:cs="Arial"/>
          <w:color w:val="525252"/>
          <w:sz w:val="24"/>
          <w:shd w:val="clear" w:color="auto" w:fill="FFFFFF"/>
          <w:lang w:val="en-US"/>
        </w:rPr>
        <w:t xml:space="preserve">The economic analysis confirmed the efficiency of spending public funds as the benefits of the project outweigh its costs. </w:t>
      </w:r>
      <w:r w:rsidR="005F5C97">
        <w:rPr>
          <w:rFonts w:ascii="Arial" w:eastAsia="Arial" w:hAnsi="Arial" w:cs="Arial"/>
          <w:color w:val="525252"/>
          <w:sz w:val="24"/>
          <w:shd w:val="clear" w:color="auto" w:fill="FFFFFF"/>
          <w:lang w:val="en-US"/>
        </w:rPr>
        <w:t>It is concl</w:t>
      </w:r>
      <w:r w:rsidR="005F5C97" w:rsidRPr="005F5C97">
        <w:rPr>
          <w:rFonts w:ascii="Arial" w:eastAsia="Arial" w:hAnsi="Arial" w:cs="Arial"/>
          <w:color w:val="525252"/>
          <w:sz w:val="24"/>
          <w:shd w:val="clear" w:color="auto" w:fill="FFFFFF"/>
          <w:lang w:val="en-US"/>
        </w:rPr>
        <w:t>uded that the project costs are legitimate due to its benefits for the society.</w:t>
      </w:r>
    </w:p>
    <w:p w:rsidR="00865E20" w:rsidRPr="00E94AAA" w:rsidRDefault="00865E20">
      <w:pPr>
        <w:spacing w:before="120" w:after="120" w:line="240" w:lineRule="auto"/>
        <w:jc w:val="both"/>
        <w:rPr>
          <w:rFonts w:ascii="Arial" w:eastAsia="Arial" w:hAnsi="Arial" w:cs="Arial"/>
          <w:color w:val="525252"/>
          <w:sz w:val="24"/>
          <w:shd w:val="clear" w:color="auto" w:fill="FFFFFF"/>
          <w:lang w:val="en-US"/>
        </w:rPr>
      </w:pPr>
    </w:p>
    <w:p w:rsidR="00865E20" w:rsidRPr="00E94AAA" w:rsidRDefault="00865E20">
      <w:pPr>
        <w:spacing w:after="0" w:line="240" w:lineRule="auto"/>
        <w:jc w:val="both"/>
        <w:rPr>
          <w:rFonts w:ascii="Arial" w:eastAsia="Arial" w:hAnsi="Arial" w:cs="Arial"/>
          <w:color w:val="525252"/>
          <w:sz w:val="24"/>
          <w:shd w:val="clear" w:color="auto" w:fill="FFFFFF"/>
          <w:lang w:val="en-US"/>
        </w:rPr>
      </w:pPr>
    </w:p>
    <w:sectPr w:rsidR="00865E20" w:rsidRPr="00E94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65E20"/>
    <w:rsid w:val="001E7F85"/>
    <w:rsid w:val="00214EBF"/>
    <w:rsid w:val="005F5C97"/>
    <w:rsid w:val="006B0B53"/>
    <w:rsid w:val="00865E20"/>
    <w:rsid w:val="00896BBA"/>
    <w:rsid w:val="009D41DB"/>
    <w:rsid w:val="00E52A55"/>
    <w:rsid w:val="00E94A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5536A-1D9B-43B5-8547-236F66EE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unhideWhenUsed/>
    <w:rsid w:val="001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1E7F8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38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ii.gov.sk/metodicke-dokumenty/ex-post-cb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Vajdiak</cp:lastModifiedBy>
  <cp:revision>9</cp:revision>
  <dcterms:created xsi:type="dcterms:W3CDTF">2020-04-02T09:03:00Z</dcterms:created>
  <dcterms:modified xsi:type="dcterms:W3CDTF">2020-04-02T11:02:00Z</dcterms:modified>
</cp:coreProperties>
</file>